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3.xml" ContentType="application/vnd.openxmlformats-officedocument.wordprocessingml.head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footer3.xml" ContentType="application/vnd.openxmlformats-officedocument.wordprocessingml.footer+xml"/>
  <Override PartName="/word/media/rId26.tiff" ContentType="image/tiff"/>
  <Override PartName="/word/media/rId32.png" ContentType="image/png"/>
  <Override PartName="/word/media/rId35.png" ContentType="image/png"/>
  <Override PartName="/word/media/image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An</w:t>
      </w:r>
      <w:r>
        <w:t xml:space="preserve"> </w:t>
      </w:r>
      <w:r>
        <w:t xml:space="preserve">example</w:t>
      </w:r>
      <w:r>
        <w:t xml:space="preserve"> </w:t>
      </w:r>
      <w:r>
        <w:t xml:space="preserve">ageing</w:t>
      </w:r>
      <w:r>
        <w:t xml:space="preserve"> </w:t>
      </w:r>
      <w:r>
        <w:t xml:space="preserve">criteria</w:t>
      </w:r>
      <w:r>
        <w:t xml:space="preserve"> </w:t>
      </w:r>
      <w:r>
        <w:t xml:space="preserve">report</w:t>
      </w:r>
    </w:p>
    <w:p>
      <w:pPr>
        <w:pStyle w:val="Subtitle"/>
      </w:pPr>
      <w:r>
        <w:t xml:space="preserve">Pristipomoides</w:t>
      </w:r>
      <w:r>
        <w:t xml:space="preserve"> </w:t>
      </w:r>
      <w:r>
        <w:t xml:space="preserve">zonatus</w:t>
      </w:r>
    </w:p>
    <w:p>
      <w:pPr>
        <w:pStyle w:val="Author"/>
      </w:pPr>
      <w:r>
        <w:t xml:space="preserve">Eva</w:t>
      </w:r>
      <w:r>
        <w:t xml:space="preserve"> </w:t>
      </w:r>
      <w:r>
        <w:t xml:space="preserve">Schemmel</w:t>
      </w:r>
    </w:p>
    <w:p>
      <w:pPr>
        <w:pStyle w:val="Author"/>
      </w:pPr>
      <w:r>
        <w:t xml:space="preserve">Kristen</w:t>
      </w:r>
      <w:r>
        <w:t xml:space="preserve"> </w:t>
      </w:r>
      <w:r>
        <w:t xml:space="preserve">Dahl</w:t>
      </w:r>
    </w:p>
    <w:p>
      <w:pPr>
        <w:pStyle w:val="Date"/>
      </w:pPr>
      <w:r>
        <w:t xml:space="preserve">January</w:t>
      </w:r>
      <w:r>
        <w:t xml:space="preserve"> </w:t>
      </w:r>
      <w:r>
        <w:t xml:space="preserve">2023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</w:t>
          </w:r>
          <w:r>
            <w:t xml:space="preserve"> </w:t>
          </w:r>
          <w:r>
            <w:t xml:space="preserve">of</w:t>
          </w:r>
          <w:r>
            <w:t xml:space="preserve"> </w:t>
          </w:r>
          <w:r>
            <w:t xml:space="preserve">contents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citation"/>
    <w:p>
      <w:pPr>
        <w:pStyle w:val="Heading1"/>
      </w:pPr>
      <w:r>
        <w:t xml:space="preserve">Citation</w:t>
      </w:r>
    </w:p>
    <w:p>
      <w:pPr>
        <w:pStyle w:val="FirstParagraph"/>
      </w:pPr>
      <w:r>
        <w:t xml:space="preserve">E Schemmel, 2024. Ageing Criteria Template. Pacific Islands Science</w:t>
      </w:r>
      <w:r>
        <w:t xml:space="preserve"> </w:t>
      </w:r>
      <w:r>
        <w:t xml:space="preserve">Center.</w:t>
      </w:r>
    </w:p>
    <w:p>
      <w:r>
        <w:br w:type="page"/>
      </w:r>
    </w:p>
    <w:bookmarkEnd w:id="20"/>
    <w:bookmarkStart w:id="21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Pristipomoides zonatus is a deepwater snapper found in subtropical and</w:t>
      </w:r>
      <w:r>
        <w:t xml:space="preserve"> </w:t>
      </w:r>
      <w:r>
        <w:t xml:space="preserve">tropical waters throughout the Indo-Pacific in rocky habitats from</w:t>
      </w:r>
      <w:r>
        <w:t xml:space="preserve"> </w:t>
      </w:r>
      <w:r>
        <w:t xml:space="preserve">70-300 meters (fishbase.org). The largest maximum length recorded is</w:t>
      </w:r>
      <w:r>
        <w:t xml:space="preserve"> </w:t>
      </w:r>
      <w:r>
        <w:t xml:space="preserve">57.7 cm (Kamikawa et al. 2015). P. zonatus is one of the deep water</w:t>
      </w:r>
      <w:r>
        <w:t xml:space="preserve"> </w:t>
      </w:r>
      <w:r>
        <w:t xml:space="preserve">snappers in bottomfish fisheries in the central Pacific.</w:t>
      </w:r>
    </w:p>
    <w:p>
      <w:pPr>
        <w:pStyle w:val="BodyText"/>
      </w:pPr>
      <w:r>
        <w:t xml:space="preserve">Otoliths are commonly used to estimate and in boney fishes. Growth can</w:t>
      </w:r>
      <w:r>
        <w:t xml:space="preserve"> </w:t>
      </w:r>
      <w:r>
        <w:t xml:space="preserve">be assessed by counting the annual growth bands, with dark zones</w:t>
      </w:r>
      <w:r>
        <w:t xml:space="preserve"> </w:t>
      </w:r>
      <w:r>
        <w:t xml:space="preserve">corresponding to slower growth during winter months and light zones</w:t>
      </w:r>
      <w:r>
        <w:t xml:space="preserve"> </w:t>
      </w:r>
      <w:r>
        <w:t xml:space="preserve">corresponding to faster growth during summer months. However, growth can</w:t>
      </w:r>
      <w:r>
        <w:t xml:space="preserve"> </w:t>
      </w:r>
      <w:r>
        <w:t xml:space="preserve">be variable and marks can appear on the otolith that may not correspond</w:t>
      </w:r>
      <w:r>
        <w:t xml:space="preserve"> </w:t>
      </w:r>
      <w:r>
        <w:t xml:space="preserve">to annual marks (references). Therefore, ageing criteria and validation</w:t>
      </w:r>
      <w:r>
        <w:t xml:space="preserve"> </w:t>
      </w:r>
      <w:r>
        <w:t xml:space="preserve">is warranted (Newman et al 2015). Age validation can be achieved in</w:t>
      </w:r>
      <w:r>
        <w:t xml:space="preserve"> </w:t>
      </w:r>
      <w:r>
        <w:t xml:space="preserve">multiple ways such as using marginal increment analysis, edge analysis,</w:t>
      </w:r>
      <w:r>
        <w:t xml:space="preserve"> </w:t>
      </w:r>
      <w:r>
        <w:t xml:space="preserve">and first increment analysis using daily growth increments (Newman et al</w:t>
      </w:r>
      <w:r>
        <w:t xml:space="preserve"> </w:t>
      </w:r>
      <w:r>
        <w:t xml:space="preserve">2017; O’Malley et al 2016). Additional validation can come from bomb</w:t>
      </w:r>
      <w:r>
        <w:t xml:space="preserve"> </w:t>
      </w:r>
      <w:r>
        <w:t xml:space="preserve">radiocarbon dating (14C), and uses a reference signal of 14C created</w:t>
      </w:r>
      <w:r>
        <w:t xml:space="preserve"> </w:t>
      </w:r>
      <w:r>
        <w:t xml:space="preserve">from thermonuclear testing in the 1950s and 1960s to estimate the age of</w:t>
      </w:r>
      <w:r>
        <w:t xml:space="preserve"> </w:t>
      </w:r>
      <w:r>
        <w:t xml:space="preserve">individuals from material taken from the otolith core (Andrews et al</w:t>
      </w:r>
      <w:r>
        <w:t xml:space="preserve"> </w:t>
      </w:r>
      <w:r>
        <w:t xml:space="preserve">2012; Andrews 2016; Newman et al 2017).</w:t>
      </w:r>
    </w:p>
    <w:p>
      <w:pPr>
        <w:pStyle w:val="BodyText"/>
      </w:pPr>
      <w:r>
        <w:t xml:space="preserve">Here we follow ageing criteria and validation methods have been</w:t>
      </w:r>
      <w:r>
        <w:t xml:space="preserve"> </w:t>
      </w:r>
      <w:r>
        <w:t xml:space="preserve">developed for deepwater snappers (Newman et al. 2017; O’Malley et al</w:t>
      </w:r>
      <w:r>
        <w:t xml:space="preserve"> </w:t>
      </w:r>
      <w:r>
        <w:t xml:space="preserve">2016) to determine the feasibility of ageing P. zonatus. To develop</w:t>
      </w:r>
      <w:r>
        <w:t xml:space="preserve"> </w:t>
      </w:r>
      <w:r>
        <w:t xml:space="preserve">ageing criteria, two readers examined X otoliths from Mariana Islands.</w:t>
      </w:r>
      <w:r>
        <w:t xml:space="preserve"> </w:t>
      </w:r>
      <w:r>
        <w:t xml:space="preserve">We verified the location of the first annuali using daily counts. We</w:t>
      </w:r>
      <w:r>
        <w:t xml:space="preserve"> </w:t>
      </w:r>
      <w:r>
        <w:t xml:space="preserve">then estimated the age precision (between-reader agreement, average</w:t>
      </w:r>
      <w:r>
        <w:t xml:space="preserve"> </w:t>
      </w:r>
      <w:r>
        <w:t xml:space="preserve">percent error, and coefficient of variation). Prior work has been done</w:t>
      </w:r>
      <w:r>
        <w:t xml:space="preserve"> </w:t>
      </w:r>
      <w:r>
        <w:t xml:space="preserve">for P. zonatus from Hawaii to estimate ages using bomb radiocarbon</w:t>
      </w:r>
      <w:r>
        <w:t xml:space="preserve"> </w:t>
      </w:r>
      <w:r>
        <w:t xml:space="preserve">dating (Andrews 2019).</w:t>
      </w:r>
    </w:p>
    <w:bookmarkEnd w:id="21"/>
    <w:bookmarkStart w:id="22" w:name="methods"/>
    <w:p>
      <w:pPr>
        <w:pStyle w:val="Heading1"/>
      </w:pPr>
      <w:r>
        <w:t xml:space="preserve">2. Methods</w:t>
      </w:r>
    </w:p>
    <w:p>
      <w:pPr>
        <w:pStyle w:val="FirstParagraph"/>
      </w:pPr>
      <w:r>
        <w:t xml:space="preserve">Each individual otolith is mounted and transversely sectioned,</w:t>
      </w:r>
      <w:r>
        <w:t xml:space="preserve"> </w:t>
      </w:r>
      <w:r>
        <w:t xml:space="preserve">perpendicular to the sulcus acusticus using a Buhler Isomet Low Speed</w:t>
      </w:r>
      <w:r>
        <w:t xml:space="preserve"> </w:t>
      </w:r>
      <w:r>
        <w:t xml:space="preserve">Saw, to a thickness that was species-specific and tested for annuli</w:t>
      </w:r>
      <w:r>
        <w:t xml:space="preserve"> </w:t>
      </w:r>
      <w:r>
        <w:t xml:space="preserve">clarity. Otoltihs were sectioned to between 0.2 and 0.25 mm, dipped in</w:t>
      </w:r>
      <w:r>
        <w:t xml:space="preserve"> </w:t>
      </w:r>
      <w:r>
        <w:t xml:space="preserve">2.5.5 HCl solution, rinsed, and cover slipped.</w:t>
      </w:r>
    </w:p>
    <w:p>
      <w:pPr>
        <w:pStyle w:val="BodyText"/>
      </w:pPr>
      <w:r>
        <w:t xml:space="preserve">Sectioned otoliths were examined using reflected light where dark opaque</w:t>
      </w:r>
      <w:r>
        <w:t xml:space="preserve"> </w:t>
      </w:r>
      <w:r>
        <w:t xml:space="preserve">bands represent narrower and presumably slower growth bands and light</w:t>
      </w:r>
      <w:r>
        <w:t xml:space="preserve"> </w:t>
      </w:r>
      <w:r>
        <w:t xml:space="preserve">translucent marks represent wider and presumably faster growth zones.</w:t>
      </w:r>
      <w:r>
        <w:t xml:space="preserve"> </w:t>
      </w:r>
      <w:r>
        <w:t xml:space="preserve">Opaque bands were counted using a stereomicroscope, against a black</w:t>
      </w:r>
      <w:r>
        <w:t xml:space="preserve"> </w:t>
      </w:r>
      <w:r>
        <w:t xml:space="preserve">background and under two obliquely reflecting light sources (one on each</w:t>
      </w:r>
      <w:r>
        <w:t xml:space="preserve"> </w:t>
      </w:r>
      <w:r>
        <w:t xml:space="preserve">side of the microscope stage, at low angles), at 40-80x magnification.</w:t>
      </w:r>
      <w:r>
        <w:t xml:space="preserve"> </w:t>
      </w:r>
      <w:r>
        <w:t xml:space="preserve">The opaque bands were counted across a consistent axis along the ventral</w:t>
      </w:r>
      <w:r>
        <w:t xml:space="preserve"> </w:t>
      </w:r>
      <w:r>
        <w:t xml:space="preserve">portion of the section, from the primordium to the otolith margin.</w:t>
      </w:r>
    </w:p>
    <w:p>
      <w:pPr>
        <w:pStyle w:val="BodyText"/>
      </w:pPr>
      <w:r>
        <w:t xml:space="preserve">#Identification of First Annual Mark Small otoliths that contained zero</w:t>
      </w:r>
      <w:r>
        <w:t xml:space="preserve"> </w:t>
      </w:r>
      <w:r>
        <w:t xml:space="preserve">to one annuali were further processed for daily increment analysis to</w:t>
      </w:r>
      <w:r>
        <w:t xml:space="preserve"> </w:t>
      </w:r>
      <w:r>
        <w:t xml:space="preserve">determine the location of the first annual mark. These otoliths were</w:t>
      </w:r>
      <w:r>
        <w:t xml:space="preserve"> </w:t>
      </w:r>
      <w:r>
        <w:t xml:space="preserve">polished using progressively finer (30, 9, 3, 0.3 µm) lapping film until</w:t>
      </w:r>
      <w:r>
        <w:t xml:space="preserve"> </w:t>
      </w:r>
      <w:r>
        <w:t xml:space="preserve">daily increments were clearly visible. Daily otolith increments were</w:t>
      </w:r>
      <w:r>
        <w:t xml:space="preserve"> </w:t>
      </w:r>
      <w:r>
        <w:t xml:space="preserve">counted by one reader using an Olympus BX51compound microscope</w:t>
      </w:r>
      <w:r>
        <w:t xml:space="preserve"> </w:t>
      </w:r>
      <w:r>
        <w:t xml:space="preserve">(magnification range 200–600×). Increments were counted from the core</w:t>
      </w:r>
      <w:r>
        <w:t xml:space="preserve"> </w:t>
      </w:r>
      <w:r>
        <w:t xml:space="preserve">to each of the potential annual marks.</w:t>
      </w:r>
    </w:p>
    <w:bookmarkEnd w:id="22"/>
    <w:bookmarkStart w:id="23" w:name="edge-analysis"/>
    <w:p>
      <w:pPr>
        <w:pStyle w:val="Heading1"/>
      </w:pPr>
      <w:r>
        <w:t xml:space="preserve">3. Edge Analysis</w:t>
      </w:r>
    </w:p>
    <w:p>
      <w:pPr>
        <w:pStyle w:val="FirstParagraph"/>
      </w:pPr>
      <w:r>
        <w:t xml:space="preserve">Growth increment periodicity was assessed using edge analysis. A simple</w:t>
      </w:r>
      <w:r>
        <w:t xml:space="preserve"> </w:t>
      </w:r>
      <w:r>
        <w:t xml:space="preserve">edge type classification was used: 1 = opaque zone on the edge of the</w:t>
      </w:r>
      <w:r>
        <w:t xml:space="preserve"> </w:t>
      </w:r>
      <w:r>
        <w:t xml:space="preserve">otolith section; 2 = translucent zone on the edge of the otolith</w:t>
      </w:r>
      <w:r>
        <w:t xml:space="preserve"> </w:t>
      </w:r>
      <w:r>
        <w:t xml:space="preserve">section. The edge type was recorded for every otolith. A proportion of</w:t>
      </w:r>
      <w:r>
        <w:t xml:space="preserve"> </w:t>
      </w:r>
      <w:r>
        <w:t xml:space="preserve">edge type was plotted for every month to validate increment periodicity</w:t>
      </w:r>
      <w:r>
        <w:t xml:space="preserve"> </w:t>
      </w:r>
      <w:r>
        <w:t xml:space="preserve">(refer to Taylor and Cruz 2017).</w:t>
      </w:r>
    </w:p>
    <w:bookmarkEnd w:id="23"/>
    <w:bookmarkStart w:id="24" w:name="otolith-weight-to-age-analysis"/>
    <w:p>
      <w:pPr>
        <w:pStyle w:val="Heading1"/>
      </w:pPr>
      <w:r>
        <w:t xml:space="preserve">4. Otolith Weight to Age Analysis</w:t>
      </w:r>
    </w:p>
    <w:p>
      <w:pPr>
        <w:pStyle w:val="FirstParagraph"/>
      </w:pPr>
      <w:r>
        <w:t xml:space="preserve">Otolith weight was compared to estimated ages and the coefficient of</w:t>
      </w:r>
      <w:r>
        <w:t xml:space="preserve"> </w:t>
      </w:r>
      <w:r>
        <w:t xml:space="preserve">determination was calculated as a proxy of the accuracy of aging</w:t>
      </w:r>
      <w:r>
        <w:t xml:space="preserve"> </w:t>
      </w:r>
      <w:r>
        <w:t xml:space="preserve">criteria following (Lou et al. 2005, Pilling et al. 2003; O’Malley et</w:t>
      </w:r>
      <w:r>
        <w:t xml:space="preserve"> </w:t>
      </w:r>
      <w:r>
        <w:t xml:space="preserve">al. 2016).</w:t>
      </w:r>
    </w:p>
    <w:bookmarkEnd w:id="24"/>
    <w:bookmarkStart w:id="25" w:name="aging-criteria"/>
    <w:p>
      <w:pPr>
        <w:pStyle w:val="Heading1"/>
      </w:pPr>
      <w:r>
        <w:t xml:space="preserve">5. Aging Criteria</w:t>
      </w:r>
    </w:p>
    <w:p>
      <w:pPr>
        <w:pStyle w:val="FirstParagraph"/>
      </w:pPr>
      <w:r>
        <w:t xml:space="preserve">Ageing criteria were developed with two readers by examining 100 thin</w:t>
      </w:r>
      <w:r>
        <w:t xml:space="preserve"> </w:t>
      </w:r>
      <w:r>
        <w:t xml:space="preserve">(&lt;0.25 mm) sectioned otoliths from the Mariana Islands. The two readers</w:t>
      </w:r>
      <w:r>
        <w:t xml:space="preserve"> </w:t>
      </w:r>
      <w:r>
        <w:t xml:space="preserve">reviewed the otoliths and come to agreement on the location of the first</w:t>
      </w:r>
      <w:r>
        <w:t xml:space="preserve"> </w:t>
      </w:r>
      <w:r>
        <w:t xml:space="preserve">annual mark prior to reading. The agers review the samples and image a</w:t>
      </w:r>
      <w:r>
        <w:t xml:space="preserve"> </w:t>
      </w:r>
      <w:r>
        <w:t xml:space="preserve">subset of the reference set of otoliths to get a representative sample</w:t>
      </w:r>
      <w:r>
        <w:t xml:space="preserve"> </w:t>
      </w:r>
      <w:r>
        <w:t xml:space="preserve">across the age range. The imaged reference set is used to calibrate the</w:t>
      </w:r>
      <w:r>
        <w:t xml:space="preserve"> </w:t>
      </w:r>
      <w:r>
        <w:t xml:space="preserve">readers before each read. Blind readings of the sectioned otoliths were</w:t>
      </w:r>
      <w:r>
        <w:t xml:space="preserve"> </w:t>
      </w:r>
      <w:r>
        <w:t xml:space="preserve">done by two readers.</w:t>
      </w:r>
    </w:p>
    <w:p>
      <w:pPr>
        <w:pStyle w:val="BodyText"/>
      </w:pPr>
      <w:r>
        <w:t xml:space="preserve">Between reader agreement was assessed using the coefficient of variation</w:t>
      </w:r>
      <w:r>
        <w:t xml:space="preserve"> </w:t>
      </w:r>
      <w:r>
        <w:t xml:space="preserve">and average percent error. The coefficient of variation (CV) is the</w:t>
      </w:r>
      <w:r>
        <w:t xml:space="preserve"> </w:t>
      </w:r>
      <w:r>
        <w:t xml:space="preserve">ratio of the standard deviation over the mean (Chang, 1982). A mean CV</w:t>
      </w:r>
      <w:r>
        <w:t xml:space="preserve"> </w:t>
      </w:r>
      <w:r>
        <w:t xml:space="preserve">was estimated by averaging the individual CV of all aged fish from</w:t>
      </w:r>
      <w:r>
        <w:t xml:space="preserve"> </w:t>
      </w:r>
      <w:r>
        <w:t xml:space="preserve">Marina Island, and separately for all fish age from Hawaii. The average</w:t>
      </w:r>
      <w:r>
        <w:t xml:space="preserve"> </w:t>
      </w:r>
      <w:r>
        <w:t xml:space="preserve">percent error (APE) was assessed from all aged fish in the Marianas</w:t>
      </w:r>
      <w:r>
        <w:t xml:space="preserve"> </w:t>
      </w:r>
      <w:r>
        <w:t xml:space="preserve">Island sample and separately for all aged fish in the Hawaii sample. The</w:t>
      </w:r>
      <w:r>
        <w:t xml:space="preserve"> </w:t>
      </w:r>
      <w:r>
        <w:t xml:space="preserve">index of average percent agreement (IAPE; Beamish and Fournier 1981) was</w:t>
      </w:r>
      <w:r>
        <w:t xml:space="preserve"> </w:t>
      </w:r>
      <w:r>
        <w:t xml:space="preserve">determined by averaging the average percent error across all fish aged</w:t>
      </w:r>
      <w:r>
        <w:t xml:space="preserve"> </w:t>
      </w:r>
      <w:r>
        <w:t xml:space="preserve">from Mariana Islands.</w:t>
      </w:r>
    </w:p>
    <w:bookmarkEnd w:id="25"/>
    <w:bookmarkStart w:id="39" w:name="results"/>
    <w:p>
      <w:pPr>
        <w:pStyle w:val="Heading1"/>
      </w:pPr>
      <w:r>
        <w:t xml:space="preserve">6. Results</w:t>
      </w:r>
    </w:p>
    <w:p>
      <w:pPr>
        <w:pStyle w:val="FirstParagraph"/>
      </w:pPr>
      <w:r>
        <w:t xml:space="preserve">A total of 48 otoliths were used in the reference collection and aged by</w:t>
      </w:r>
      <w:r>
        <w:t xml:space="preserve"> </w:t>
      </w:r>
      <w:r>
        <w:t xml:space="preserve">two readers.</w:t>
      </w:r>
    </w:p>
    <w:p>
      <w:pPr>
        <w:pStyle w:val="BodyText"/>
      </w:pPr>
      <w:r>
        <w:t xml:space="preserve">Identification of first annuli was attempted using DGI but counts were</w:t>
      </w:r>
      <w:r>
        <w:t xml:space="preserve"> </w:t>
      </w:r>
      <w:r>
        <w:t xml:space="preserve">inconsistent.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9" w:name="fig-map"/>
          <w:p>
            <w:pPr>
              <w:pStyle w:val="Figure"/>
              <w:jc w:val="center"/>
            </w:pPr>
            <w:r>
              <w:drawing>
                <wp:inline>
                  <wp:extent cx="1102356" cy="826767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text/../images/Otoliths/PRZO_CMSLT-2442_annuli.tif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2356" cy="8267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 6.1: P. zonatus section otolith with 2 annuali</w:t>
            </w:r>
            <w:r>
              <w:t xml:space="preserve"> </w:t>
            </w:r>
            <w:r>
              <w:t xml:space="preserve">visible.</w:t>
            </w:r>
          </w:p>
          <w:bookmarkEnd w:id="29"/>
        </w:tc>
      </w:tr>
    </w:tbl>
    <w:bookmarkStart w:id="30" w:name="edge-analysis-1"/>
    <w:p>
      <w:pPr>
        <w:pStyle w:val="Heading2"/>
      </w:pPr>
      <w:r>
        <w:t xml:space="preserve">6.1 Edge Analysis</w:t>
      </w:r>
    </w:p>
    <w:bookmarkEnd w:id="30"/>
    <w:bookmarkStart w:id="31" w:name="otolith-weight-to-age-analysis-1"/>
    <w:p>
      <w:pPr>
        <w:pStyle w:val="Heading2"/>
      </w:pPr>
      <w:r>
        <w:t xml:space="preserve">6.2 Otolith Weight to Age Analysis</w:t>
      </w:r>
    </w:p>
    <w:bookmarkEnd w:id="31"/>
    <w:bookmarkStart w:id="38" w:name="ageing-criteria"/>
    <w:p>
      <w:pPr>
        <w:pStyle w:val="Heading2"/>
      </w:pPr>
      <w:r>
        <w:t xml:space="preserve">6.3 Ageing Criteria</w:t>
      </w:r>
    </w:p>
    <w:p>
      <w:pPr>
        <w:pStyle w:val="FirstParagraph"/>
      </w:pPr>
      <w:r>
        <w:t xml:space="preserve">Precision</w:t>
      </w:r>
    </w:p>
    <w:p>
      <w:pPr>
        <w:pStyle w:val="SourceCode"/>
      </w:pPr>
      <w:r>
        <w:rPr>
          <w:rStyle w:val="VerbatimChar"/>
        </w:rPr>
        <w:t xml:space="preserve">    n validn R PercAgree   ASD   ACV    AAD  APE</w:t>
      </w:r>
      <w:r>
        <w:br/>
      </w:r>
      <w:r>
        <w:rPr>
          <w:rStyle w:val="VerbatimChar"/>
        </w:rPr>
        <w:t xml:space="preserve"> 1315     48 2     43.75 0.604 12.25 0.4271 8.66</w:t>
      </w:r>
      <w:r>
        <w:br/>
      </w:r>
      <w:r>
        <w:rPr>
          <w:rStyle w:val="VerbatimChar"/>
        </w:rPr>
        <w:t xml:space="preserve">-4 -3 -2 -1  0  1  2  3 </w:t>
      </w:r>
      <w:r>
        <w:br/>
      </w:r>
      <w:r>
        <w:rPr>
          <w:rStyle w:val="VerbatimChar"/>
        </w:rPr>
        <w:t xml:space="preserve"> 2  0  8 27 44 10  2  6 </w:t>
      </w:r>
    </w:p>
    <w:p>
      <w:pPr>
        <w:pStyle w:val="SourceCode"/>
      </w:pPr>
      <w:r>
        <w:rPr>
          <w:rStyle w:val="VerbatimChar"/>
        </w:rPr>
        <w:t xml:space="preserve">      symTest df    chi.sq          p</w:t>
      </w:r>
      <w:r>
        <w:br/>
      </w:r>
      <w:r>
        <w:rPr>
          <w:rStyle w:val="VerbatimChar"/>
        </w:rPr>
        <w:t xml:space="preserve">1     McNemar  1  3.000000 0.08326452</w:t>
      </w:r>
      <w:r>
        <w:br/>
      </w:r>
      <w:r>
        <w:rPr>
          <w:rStyle w:val="VerbatimChar"/>
        </w:rPr>
        <w:t xml:space="preserve">2 EvansHoenig  4  9.355556 0.05280138</w:t>
      </w:r>
      <w:r>
        <w:br/>
      </w:r>
      <w:r>
        <w:rPr>
          <w:rStyle w:val="VerbatimChar"/>
        </w:rPr>
        <w:t xml:space="preserve">3      Bowker 13 19.500000 0.10839813</w:t>
      </w:r>
    </w:p>
    <w:p>
      <w:pPr>
        <w:pStyle w:val="FirstParagraph"/>
      </w:pPr>
      <w:r>
        <w:drawing>
          <wp:inline>
            <wp:extent cx="5943600" cy="4754880"/>
            <wp:effectExtent b="0" l="0" r="0" t="0"/>
            <wp:docPr descr="Age-bias plots of Reader 1 and Reader 2. Each error bar represents the 95% confidence interval.)" title="" id="33" name="Picture"/>
            <a:graphic>
              <a:graphicData uri="http://schemas.openxmlformats.org/drawingml/2006/picture">
                <pic:pic>
                  <pic:nvPicPr>
                    <pic:cNvPr descr="text/Results3_files/figure-docx/fig-bias%20plot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{#fig-bias</w:t>
      </w:r>
      <w:r>
        <w:t xml:space="preserve"> </w:t>
      </w:r>
      <w:r>
        <w:t xml:space="preserve">plot-1}</w:t>
      </w:r>
    </w:p>
    <w:p>
      <w:pPr>
        <w:pStyle w:val="BodyText"/>
      </w:pPr>
      <w:r>
        <w:drawing>
          <wp:inline>
            <wp:extent cx="5943600" cy="4754880"/>
            <wp:effectExtent b="0" l="0" r="0" t="0"/>
            <wp:docPr descr="Age-bias plots of Reader 1 and Reader 2. Each error bar represents the 95% confidence interval.)" title="" id="36" name="Picture"/>
            <a:graphic>
              <a:graphicData uri="http://schemas.openxmlformats.org/drawingml/2006/picture">
                <pic:pic>
                  <pic:nvPicPr>
                    <pic:cNvPr descr="text/Results3_files/figure-docx/fig-bias%20plot-2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{#fig-bias</w:t>
      </w:r>
      <w:r>
        <w:t xml:space="preserve"> </w:t>
      </w:r>
      <w:r>
        <w:t xml:space="preserve">plot-2}</w:t>
      </w:r>
    </w:p>
    <w:bookmarkEnd w:id="38"/>
    <w:bookmarkEnd w:id="39"/>
    <w:bookmarkStart w:id="40" w:name="discussion"/>
    <w:p>
      <w:pPr>
        <w:pStyle w:val="Heading1"/>
      </w:pPr>
      <w:r>
        <w:t xml:space="preserve">7. Discussion</w:t>
      </w:r>
    </w:p>
    <w:bookmarkEnd w:id="40"/>
    <w:bookmarkStart w:id="41" w:name="references"/>
    <w:p>
      <w:pPr>
        <w:pStyle w:val="Heading1"/>
      </w:pPr>
      <w:r>
        <w:t xml:space="preserve">References</w:t>
      </w:r>
    </w:p>
    <w:bookmarkEnd w:id="41"/>
    <w:sectPr w:rsidR="007F13E6" w:rsidSect="00275A44">
      <w:headerReference r:id="rId11" w:type="even"/>
      <w:headerReference r:id="rId10" w:type="default"/>
      <w:footerReference r:id="rId13" w:type="even"/>
      <w:footerReference r:id="rId12" w:type="default"/>
      <w:headerReference r:id="rId9" w:type="first"/>
      <w:footerReference r:id="rId14" w:type="first"/>
      <w:pgSz w:h="15840" w:w="12240"/>
      <w:pgMar w:bottom="1440" w:footer="720" w:gutter="0" w:header="720" w:left="1440" w:right="1440" w:top="1440"/>
      <w:pgBorders w:offsetFrom="page">
        <w:top w:color="auto" w:space="24" w:sz="4" w:val="single"/>
        <w:left w:color="auto" w:space="24" w:sz="4" w:val="single"/>
        <w:bottom w:color="auto" w:space="24" w:sz="4" w:val="single"/>
        <w:right w:color="auto" w:space="24" w:sz="4" w:val="single"/>
      </w:pgBorders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9A9ECA" w14:textId="77777777" w:rsidR="00275A44" w:rsidRDefault="00275A4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189367" w14:textId="77777777" w:rsidR="00275A44" w:rsidRDefault="00275A4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FC5048" w14:textId="77777777" w:rsidR="00275A44" w:rsidRDefault="00275A44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934BB2" w14:textId="6FDC04A4" w:rsidR="00275A44" w:rsidRDefault="00980117">
    <w:pPr>
      <w:pStyle w:val="Header"/>
    </w:pPr>
    <w:r>
      <w:rPr>
        <w:noProof/>
      </w:rPr>
      <w:pict w14:anchorId="66AB034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88406081" o:spid="_x0000_s2051" type="#_x0000_t136" alt="" style="position:absolute;margin-left:0;margin-top:0;width:494.9pt;height:164.95pt;rotation:315;z-index:-251651072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textpath style="font-family:&quot;Cambria&quot;;font-size:1pt" string="DRAFT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D86067" w14:textId="1C842DAF" w:rsidR="00275A44" w:rsidRDefault="00980117">
    <w:pPr>
      <w:pStyle w:val="Header"/>
    </w:pPr>
    <w:r>
      <w:rPr>
        <w:noProof/>
      </w:rPr>
      <w:pict w14:anchorId="15D9490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88406082" o:spid="_x0000_s2050" type="#_x0000_t136" alt="" style="position:absolute;margin-left:0;margin-top:0;width:494.9pt;height:164.95pt;rotation:315;z-index:-251646976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textpath style="font-family:&quot;Cambria&quot;;font-size:1pt" string="DRAFT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8D421A" w14:textId="63347FC0" w:rsidR="00275A44" w:rsidRDefault="00980117">
    <w:pPr>
      <w:pStyle w:val="Header"/>
    </w:pPr>
    <w:r>
      <w:rPr>
        <w:noProof/>
      </w:rPr>
      <w:pict w14:anchorId="7015DD3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88406080" o:spid="_x0000_s2049" type="#_x0000_t136" alt="" style="position:absolute;margin-left:0;margin-top:0;width:494.9pt;height:164.95pt;rotation:315;z-index:-251655168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textpath style="font-family:&quot;Cambria&quot;;font-size:1pt" string="DRAFT"/>
        </v:shape>
      </w:pict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p14">
  <w:abstractNum w15:restartNumberingAfterBreak="0" w:abstractNumId="0">
    <w:nsid w:val="EA454B4C"/>
    <w:multiLevelType w:val="multilevel"/>
    <w:tmpl w:val="6AE20140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–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•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">
    <w:nsid w:val="FFFFFF7C"/>
    <w:multiLevelType w:val="singleLevel"/>
    <w:tmpl w:val="1D4E8BBE"/>
    <w:lvl w:ilvl="0">
      <w:start w:val="1"/>
      <w:numFmt w:val="decimal"/>
      <w:lvlText w:val="%1."/>
      <w:lvlJc w:val="left"/>
      <w:pPr>
        <w:tabs>
          <w:tab w:pos="1800" w:val="num"/>
        </w:tabs>
        <w:ind w:hanging="360" w:left="1800"/>
      </w:pPr>
    </w:lvl>
  </w:abstractNum>
  <w:abstractNum w15:restartNumberingAfterBreak="0" w:abstractNumId="2">
    <w:nsid w:val="FFFFFF7D"/>
    <w:multiLevelType w:val="singleLevel"/>
    <w:tmpl w:val="761C69C0"/>
    <w:lvl w:ilvl="0">
      <w:start w:val="1"/>
      <w:numFmt w:val="decimal"/>
      <w:lvlText w:val="%1."/>
      <w:lvlJc w:val="left"/>
      <w:pPr>
        <w:tabs>
          <w:tab w:pos="1440" w:val="num"/>
        </w:tabs>
        <w:ind w:hanging="360" w:left="1440"/>
      </w:pPr>
    </w:lvl>
  </w:abstractNum>
  <w:abstractNum w15:restartNumberingAfterBreak="0" w:abstractNumId="3">
    <w:nsid w:val="FFFFFF7E"/>
    <w:multiLevelType w:val="singleLevel"/>
    <w:tmpl w:val="6382EAF6"/>
    <w:lvl w:ilvl="0">
      <w:start w:val="1"/>
      <w:numFmt w:val="decimal"/>
      <w:lvlText w:val="%1."/>
      <w:lvlJc w:val="left"/>
      <w:pPr>
        <w:tabs>
          <w:tab w:pos="1080" w:val="num"/>
        </w:tabs>
        <w:ind w:hanging="360" w:left="1080"/>
      </w:pPr>
    </w:lvl>
  </w:abstractNum>
  <w:abstractNum w15:restartNumberingAfterBreak="0" w:abstractNumId="4">
    <w:nsid w:val="FFFFFF7F"/>
    <w:multiLevelType w:val="singleLevel"/>
    <w:tmpl w:val="65C6E2FC"/>
    <w:lvl w:ilvl="0">
      <w:start w:val="1"/>
      <w:numFmt w:val="decimal"/>
      <w:lvlText w:val="%1."/>
      <w:lvlJc w:val="left"/>
      <w:pPr>
        <w:tabs>
          <w:tab w:pos="720" w:val="num"/>
        </w:tabs>
        <w:ind w:hanging="360" w:left="720"/>
      </w:pPr>
    </w:lvl>
  </w:abstractNum>
  <w:abstractNum w15:restartNumberingAfterBreak="0" w:abstractNumId="5">
    <w:nsid w:val="FFFFFF80"/>
    <w:multiLevelType w:val="singleLevel"/>
    <w:tmpl w:val="BE0C5114"/>
    <w:lvl w:ilvl="0">
      <w:start w:val="1"/>
      <w:numFmt w:val="bullet"/>
      <w:lvlText w:val=""/>
      <w:lvlJc w:val="left"/>
      <w:pPr>
        <w:tabs>
          <w:tab w:pos="1800" w:val="num"/>
        </w:tabs>
        <w:ind w:hanging="360" w:left="1800"/>
      </w:pPr>
      <w:rPr>
        <w:rFonts w:ascii="Symbol" w:hAnsi="Symbol" w:hint="default"/>
      </w:rPr>
    </w:lvl>
  </w:abstractNum>
  <w:abstractNum w15:restartNumberingAfterBreak="0" w:abstractNumId="6">
    <w:nsid w:val="FFFFFF81"/>
    <w:multiLevelType w:val="singleLevel"/>
    <w:tmpl w:val="C588AA8E"/>
    <w:lvl w:ilvl="0">
      <w:start w:val="1"/>
      <w:numFmt w:val="bullet"/>
      <w:lvlText w:val=""/>
      <w:lvlJc w:val="left"/>
      <w:pPr>
        <w:tabs>
          <w:tab w:pos="1440" w:val="num"/>
        </w:tabs>
        <w:ind w:hanging="360" w:left="1440"/>
      </w:pPr>
      <w:rPr>
        <w:rFonts w:ascii="Symbol" w:hAnsi="Symbol" w:hint="default"/>
      </w:rPr>
    </w:lvl>
  </w:abstractNum>
  <w:abstractNum w15:restartNumberingAfterBreak="0" w:abstractNumId="7">
    <w:nsid w:val="FFFFFF82"/>
    <w:multiLevelType w:val="singleLevel"/>
    <w:tmpl w:val="BAFE5890"/>
    <w:lvl w:ilvl="0">
      <w:start w:val="1"/>
      <w:numFmt w:val="bullet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</w:rPr>
    </w:lvl>
  </w:abstractNum>
  <w:abstractNum w15:restartNumberingAfterBreak="0" w:abstractNumId="8">
    <w:nsid w:val="FFFFFF83"/>
    <w:multiLevelType w:val="singleLevel"/>
    <w:tmpl w:val="F9A610D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</w:rPr>
    </w:lvl>
  </w:abstractNum>
  <w:abstractNum w15:restartNumberingAfterBreak="0" w:abstractNumId="9">
    <w:nsid w:val="FFFFFF88"/>
    <w:multiLevelType w:val="singleLevel"/>
    <w:tmpl w:val="6E6EE06A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10">
    <w:nsid w:val="FFFFFF89"/>
    <w:multiLevelType w:val="singleLevel"/>
    <w:tmpl w:val="C73E3732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1">
    <w:nsid w:val="2C1AE401"/>
    <w:multiLevelType w:val="multilevel"/>
    <w:tmpl w:val="AAA2B8EA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2">
    <w:nsid w:val="71315DCA"/>
    <w:multiLevelType w:val="multilevel"/>
    <w:tmpl w:val="4920D9C8"/>
    <w:lvl w:ilvl="0">
      <w:start w:val="1"/>
      <w:numFmt w:val="decimal"/>
      <w:lvlText w:val="%1."/>
      <w:lvlJc w:val="left"/>
      <w:pPr>
        <w:tabs>
          <w:tab w:pos="0" w:val="num"/>
        </w:tabs>
        <w:ind w:hanging="480" w:left="480"/>
      </w:pPr>
    </w:lvl>
    <w:lvl w:ilvl="1">
      <w:start w:val="1"/>
      <w:numFmt w:val="decimal"/>
      <w:lvlText w:val="%2."/>
      <w:lvlJc w:val="left"/>
      <w:pPr>
        <w:tabs>
          <w:tab w:pos="720" w:val="num"/>
        </w:tabs>
        <w:ind w:hanging="480" w:left="1200"/>
      </w:pPr>
    </w:lvl>
    <w:lvl w:ilvl="2">
      <w:start w:val="1"/>
      <w:numFmt w:val="decimal"/>
      <w:lvlText w:val="%3."/>
      <w:lvlJc w:val="left"/>
      <w:pPr>
        <w:tabs>
          <w:tab w:pos="1440" w:val="num"/>
        </w:tabs>
        <w:ind w:hanging="480" w:left="1920"/>
      </w:pPr>
    </w:lvl>
    <w:lvl w:ilvl="3">
      <w:start w:val="1"/>
      <w:numFmt w:val="decimal"/>
      <w:lvlText w:val="%4."/>
      <w:lvlJc w:val="left"/>
      <w:pPr>
        <w:tabs>
          <w:tab w:pos="2160" w:val="num"/>
        </w:tabs>
        <w:ind w:hanging="480" w:left="2640"/>
      </w:pPr>
    </w:lvl>
    <w:lvl w:ilvl="4">
      <w:start w:val="1"/>
      <w:numFmt w:val="decimal"/>
      <w:lvlText w:val="%5."/>
      <w:lvlJc w:val="left"/>
      <w:pPr>
        <w:tabs>
          <w:tab w:pos="2880" w:val="num"/>
        </w:tabs>
        <w:ind w:hanging="480" w:left="3360"/>
      </w:pPr>
    </w:lvl>
    <w:lvl w:ilvl="5">
      <w:start w:val="1"/>
      <w:numFmt w:val="decimal"/>
      <w:lvlText w:val="%6."/>
      <w:lvlJc w:val="left"/>
      <w:pPr>
        <w:tabs>
          <w:tab w:pos="3600" w:val="num"/>
        </w:tabs>
        <w:ind w:hanging="480" w:left="4080"/>
      </w:pPr>
    </w:lvl>
    <w:lvl w:ilvl="6">
      <w:start w:val="1"/>
      <w:numFmt w:val="decimal"/>
      <w:lvlText w:val="%7."/>
      <w:lvlJc w:val="left"/>
      <w:pPr>
        <w:tabs>
          <w:tab w:pos="4320" w:val="num"/>
        </w:tabs>
        <w:ind w:hanging="480" w:left="4800"/>
      </w:pPr>
    </w:lvl>
    <w:lvl w:ilvl="7">
      <w:start w:val="1"/>
      <w:numFmt w:val="decimal"/>
      <w:lvlText w:val="%8."/>
      <w:lvlJc w:val="left"/>
      <w:pPr>
        <w:tabs>
          <w:tab w:pos="5040" w:val="num"/>
        </w:tabs>
        <w:ind w:hanging="480" w:left="5520"/>
      </w:pPr>
    </w:lvl>
    <w:lvl w:ilvl="8">
      <w:start w:val="1"/>
      <w:numFmt w:val="decimal"/>
      <w:lvlText w:val="%9.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1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</w:num>
  <w:num w:numId="11">
    <w:abstractNumId w:val="2"/>
  </w:num>
  <w:num w:numId="12">
    <w:abstractNumId w:val="3"/>
  </w:num>
  <w:num w:numId="13">
    <w:abstractNumId w:val="4"/>
  </w:num>
  <w:num w:numId="14">
    <w:abstractNumId w:val="9"/>
  </w:num>
  <w:num w:numId="15">
    <w:abstractNumId w:val="5"/>
  </w:num>
  <w:num w:numId="16">
    <w:abstractNumId w:val="6"/>
  </w:num>
  <w:num w:numId="17">
    <w:abstractNumId w:val="7"/>
  </w:num>
  <w:num w:numId="18">
    <w:abstractNumId w:val="8"/>
  </w:num>
  <w:num w:numId="19">
    <w:abstractNumId w:val="1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doNotTrackMoves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75"/>
  <w:embedSystemFonts/>
  <w:proofState w:grammar="clean" w:spelling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mc:Ignorable="w14 w15 w16se w16cid w16 w16cex">
  <w:docDefaults>
    <w:rPrDefault>
      <w:rPr>
        <w:rFonts w:asciiTheme="minorHAnsi" w:cstheme="minorBidi" w:eastAsiaTheme="minorEastAsia" w:hAnsiTheme="minorHAnsi"/>
        <w:sz w:val="22"/>
        <w:szCs w:val="22"/>
        <w:lang w:bidi="ar-SA" w:eastAsia="en-US" w:val="en-US"/>
      </w:rPr>
    </w:rPrDefault>
    <w:pPrDefault>
      <w:pPr>
        <w:spacing w:after="200" w:before="200" w:line="276" w:lineRule="auto"/>
      </w:pPr>
    </w:pPrDefault>
  </w:docDefaults>
  <w:latentStyles w:count="376" w:defLockedState="0" w:defQFormat="0" w:defSemiHidden="0" w:defUIPriority="0" w:defUnhideWhenUsed="0">
    <w:lsdException w:name="heading 5" w:qFormat="1" w:semiHidden="1" w:unhideWhenUsed="1"/>
    <w:lsdException w:name="heading 6" w:qFormat="1"/>
    <w:lsdException w:name="heading 7" w:qFormat="1"/>
    <w:lsdException w:name="heading 8" w:qFormat="1"/>
    <w:lsdException w:name="heading 9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 w:uiPriority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nhideWhenUsed="1"/>
    <w:lsdException w:name="TOC Heading" w:qFormat="1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  <w:rsid w:val="005001AA"/>
    <w:rPr>
      <w:sz w:val="20"/>
      <w:szCs w:val="20"/>
    </w:rPr>
  </w:style>
  <w:style w:styleId="Heading1" w:type="paragraph">
    <w:name w:val="heading 1"/>
    <w:basedOn w:val="Normal"/>
    <w:next w:val="Normal"/>
    <w:link w:val="Heading1Char"/>
    <w:uiPriority w:val="9"/>
    <w:qFormat/>
    <w:rsid w:val="005001AA"/>
    <w:pPr>
      <w:pBdr>
        <w:top w:color="4F81BD" w:space="0" w:sz="24" w:themeColor="accent1" w:val="single"/>
        <w:left w:color="4F81BD" w:space="0" w:sz="24" w:themeColor="accent1" w:val="single"/>
        <w:bottom w:color="4F81BD" w:space="0" w:sz="24" w:themeColor="accent1" w:val="single"/>
        <w:right w:color="4F81BD" w:space="0" w:sz="24" w:themeColor="accent1" w:val="single"/>
      </w:pBdr>
      <w:shd w:color="auto" w:fill="4F81BD" w:themeFill="accent1" w:val="clear"/>
      <w:spacing w:after="0"/>
      <w:outlineLvl w:val="0"/>
    </w:pPr>
    <w:rPr>
      <w:b/>
      <w:bCs/>
      <w:caps/>
      <w:color w:themeColor="background1" w:val="FFFFFF"/>
      <w:spacing w:val="15"/>
      <w:sz w:val="22"/>
      <w:szCs w:val="22"/>
    </w:rPr>
  </w:style>
  <w:style w:styleId="Heading2" w:type="paragraph">
    <w:name w:val="heading 2"/>
    <w:basedOn w:val="Normal"/>
    <w:next w:val="Normal"/>
    <w:link w:val="Heading2Char"/>
    <w:uiPriority w:val="9"/>
    <w:unhideWhenUsed/>
    <w:qFormat/>
    <w:rsid w:val="005001AA"/>
    <w:pPr>
      <w:pBdr>
        <w:top w:color="DBE5F1" w:space="0" w:sz="24" w:themeColor="accent1" w:themeTint="33" w:val="single"/>
        <w:left w:color="DBE5F1" w:space="0" w:sz="24" w:themeColor="accent1" w:themeTint="33" w:val="single"/>
        <w:bottom w:color="DBE5F1" w:space="0" w:sz="24" w:themeColor="accent1" w:themeTint="33" w:val="single"/>
        <w:right w:color="DBE5F1" w:space="0" w:sz="24" w:themeColor="accent1" w:themeTint="33" w:val="single"/>
      </w:pBdr>
      <w:shd w:color="auto" w:fill="DBE5F1" w:themeFill="accent1" w:themeFillTint="33" w:val="clear"/>
      <w:spacing w:after="0"/>
      <w:outlineLvl w:val="1"/>
    </w:pPr>
    <w:rPr>
      <w:caps/>
      <w:spacing w:val="15"/>
      <w:sz w:val="22"/>
      <w:szCs w:val="2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5001AA"/>
    <w:pPr>
      <w:pBdr>
        <w:top w:color="4F81BD" w:space="2" w:sz="6" w:themeColor="accent1" w:val="single"/>
        <w:left w:color="4F81BD" w:space="2" w:sz="6" w:themeColor="accent1" w:val="single"/>
      </w:pBdr>
      <w:spacing w:after="0" w:before="300"/>
      <w:outlineLvl w:val="2"/>
    </w:pPr>
    <w:rPr>
      <w:caps/>
      <w:color w:themeColor="accent1" w:themeShade="7F" w:val="243F60"/>
      <w:spacing w:val="15"/>
      <w:sz w:val="22"/>
      <w:szCs w:val="22"/>
    </w:rPr>
  </w:style>
  <w:style w:styleId="Heading4" w:type="paragraph">
    <w:name w:val="heading 4"/>
    <w:basedOn w:val="Normal"/>
    <w:next w:val="Normal"/>
    <w:link w:val="Heading4Char"/>
    <w:uiPriority w:val="9"/>
    <w:unhideWhenUsed/>
    <w:qFormat/>
    <w:rsid w:val="005001AA"/>
    <w:pPr>
      <w:pBdr>
        <w:top w:color="4F81BD" w:space="2" w:sz="6" w:themeColor="accent1" w:val="dotted"/>
        <w:left w:color="4F81BD" w:space="2" w:sz="6" w:themeColor="accent1" w:val="dotted"/>
      </w:pBdr>
      <w:spacing w:after="0" w:before="300"/>
      <w:outlineLvl w:val="3"/>
    </w:pPr>
    <w:rPr>
      <w:caps/>
      <w:color w:themeColor="accent1" w:themeShade="BF" w:val="365F91"/>
      <w:spacing w:val="10"/>
      <w:sz w:val="22"/>
      <w:szCs w:val="22"/>
    </w:rPr>
  </w:style>
  <w:style w:styleId="Heading5" w:type="paragraph">
    <w:name w:val="heading 5"/>
    <w:basedOn w:val="Normal"/>
    <w:next w:val="Normal"/>
    <w:link w:val="Heading5Char"/>
    <w:uiPriority w:val="9"/>
    <w:unhideWhenUsed/>
    <w:qFormat/>
    <w:rsid w:val="005001AA"/>
    <w:pPr>
      <w:pBdr>
        <w:bottom w:color="4F81BD" w:space="1" w:sz="6" w:themeColor="accent1" w:val="single"/>
      </w:pBdr>
      <w:spacing w:after="0" w:before="300"/>
      <w:outlineLvl w:val="4"/>
    </w:pPr>
    <w:rPr>
      <w:caps/>
      <w:color w:themeColor="accent1" w:themeShade="BF" w:val="365F91"/>
      <w:spacing w:val="10"/>
      <w:sz w:val="22"/>
      <w:szCs w:val="22"/>
    </w:rPr>
  </w:style>
  <w:style w:styleId="Heading6" w:type="paragraph">
    <w:name w:val="heading 6"/>
    <w:basedOn w:val="Normal"/>
    <w:next w:val="Normal"/>
    <w:link w:val="Heading6Char"/>
    <w:uiPriority w:val="9"/>
    <w:unhideWhenUsed/>
    <w:qFormat/>
    <w:rsid w:val="005001AA"/>
    <w:pPr>
      <w:pBdr>
        <w:bottom w:color="4F81BD" w:space="1" w:sz="6" w:themeColor="accent1" w:val="dotted"/>
      </w:pBdr>
      <w:spacing w:after="0" w:before="300"/>
      <w:outlineLvl w:val="5"/>
    </w:pPr>
    <w:rPr>
      <w:caps/>
      <w:color w:themeColor="accent1" w:themeShade="BF" w:val="365F91"/>
      <w:spacing w:val="10"/>
      <w:sz w:val="22"/>
      <w:szCs w:val="22"/>
    </w:rPr>
  </w:style>
  <w:style w:styleId="Heading7" w:type="paragraph">
    <w:name w:val="heading 7"/>
    <w:basedOn w:val="Normal"/>
    <w:next w:val="Normal"/>
    <w:link w:val="Heading7Char"/>
    <w:uiPriority w:val="9"/>
    <w:unhideWhenUsed/>
    <w:qFormat/>
    <w:rsid w:val="005001AA"/>
    <w:pPr>
      <w:spacing w:after="0" w:before="300"/>
      <w:outlineLvl w:val="6"/>
    </w:pPr>
    <w:rPr>
      <w:caps/>
      <w:color w:themeColor="accent1" w:themeShade="BF" w:val="365F91"/>
      <w:spacing w:val="10"/>
      <w:sz w:val="22"/>
      <w:szCs w:val="22"/>
    </w:rPr>
  </w:style>
  <w:style w:styleId="Heading8" w:type="paragraph">
    <w:name w:val="heading 8"/>
    <w:basedOn w:val="Normal"/>
    <w:next w:val="Normal"/>
    <w:link w:val="Heading8Char"/>
    <w:uiPriority w:val="9"/>
    <w:unhideWhenUsed/>
    <w:qFormat/>
    <w:rsid w:val="005001AA"/>
    <w:pPr>
      <w:spacing w:after="0" w:before="300"/>
      <w:outlineLvl w:val="7"/>
    </w:pPr>
    <w:rPr>
      <w:caps/>
      <w:spacing w:val="10"/>
      <w:sz w:val="18"/>
      <w:szCs w:val="18"/>
    </w:rPr>
  </w:style>
  <w:style w:styleId="Heading9" w:type="paragraph">
    <w:name w:val="heading 9"/>
    <w:basedOn w:val="Normal"/>
    <w:next w:val="Normal"/>
    <w:link w:val="Heading9Char"/>
    <w:uiPriority w:val="9"/>
    <w:unhideWhenUsed/>
    <w:qFormat/>
    <w:rsid w:val="005001AA"/>
    <w:pPr>
      <w:spacing w:after="0" w:before="300"/>
      <w:outlineLvl w:val="8"/>
    </w:pPr>
    <w:rPr>
      <w:i/>
      <w:caps/>
      <w:spacing w:val="10"/>
      <w:sz w:val="18"/>
      <w:szCs w:val="18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Normal"/>
    <w:link w:val="TitleChar"/>
    <w:uiPriority w:val="10"/>
    <w:qFormat/>
    <w:rsid w:val="005001AA"/>
    <w:pPr>
      <w:spacing w:before="720"/>
    </w:pPr>
    <w:rPr>
      <w:caps/>
      <w:color w:themeColor="accent1" w:val="4F81BD"/>
      <w:spacing w:val="10"/>
      <w:kern w:val="28"/>
      <w:sz w:val="52"/>
      <w:szCs w:val="52"/>
    </w:rPr>
  </w:style>
  <w:style w:styleId="Subtitle" w:type="paragraph">
    <w:name w:val="Subtitle"/>
    <w:basedOn w:val="Normal"/>
    <w:next w:val="Normal"/>
    <w:link w:val="SubtitleChar"/>
    <w:uiPriority w:val="11"/>
    <w:qFormat/>
    <w:rsid w:val="005001AA"/>
    <w:pPr>
      <w:spacing w:after="1000" w:line="240" w:lineRule="auto"/>
    </w:pPr>
    <w:rPr>
      <w:caps/>
      <w:color w:themeColor="text1" w:themeTint="A6" w:val="595959"/>
      <w:spacing w:val="10"/>
      <w:sz w:val="24"/>
      <w:szCs w:val="24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pPr>
      <w:keepNext/>
      <w:keepLines/>
      <w:spacing w:after="300" w:before="300"/>
    </w:p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next w:val="Normal"/>
    <w:link w:val="CaptionChar"/>
    <w:uiPriority w:val="35"/>
    <w:unhideWhenUsed/>
    <w:qFormat/>
    <w:rsid w:val="005001AA"/>
    <w:rPr>
      <w:b/>
      <w:bCs/>
      <w:color w:themeColor="accent1" w:themeShade="BF" w:val="365F91"/>
      <w:sz w:val="16"/>
      <w:szCs w:val="16"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  <w:rsid w:val="00FD547C"/>
    <w:pPr>
      <w:jc w:val="center"/>
    </w:pPr>
    <w:rPr>
      <w:sz w:val="24"/>
    </w:rPr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rsid w:val="00FD547C"/>
    <w:pPr>
      <w:keepNext/>
      <w:jc w:val="center"/>
    </w:pPr>
  </w:style>
  <w:style w:customStyle="1" w:styleId="CaptionChar" w:type="character">
    <w:name w:val="Caption Char"/>
    <w:basedOn w:val="DefaultParagraphFont"/>
    <w:link w:val="Caption"/>
    <w:uiPriority w:val="35"/>
    <w:rPr>
      <w:b/>
      <w:bCs/>
      <w:color w:themeColor="accent1" w:themeShade="BF" w:val="365F91"/>
      <w:sz w:val="16"/>
      <w:szCs w:val="16"/>
    </w:rPr>
  </w:style>
  <w:style w:customStyle="1" w:styleId="VerbatimChar" w:type="character">
    <w:name w:val="Verbatim Char"/>
    <w:basedOn w:val="CaptionChar"/>
    <w:link w:val="SourceCode"/>
    <w:rPr>
      <w:rFonts w:ascii="Consolas" w:hAnsi="Consolas"/>
      <w:b/>
      <w:bCs/>
      <w:color w:themeColor="accent1" w:themeShade="BF" w:val="365F91"/>
      <w:sz w:val="22"/>
      <w:szCs w:val="16"/>
    </w:rPr>
  </w:style>
  <w:style w:customStyle="1" w:styleId="SectionNumber" w:type="character">
    <w:name w:val="Section Number"/>
    <w:basedOn w:val="CaptionChar"/>
    <w:rPr>
      <w:b/>
      <w:bCs/>
      <w:color w:themeColor="accent1" w:themeShade="BF" w:val="365F91"/>
      <w:sz w:val="16"/>
      <w:szCs w:val="16"/>
    </w:rPr>
  </w:style>
  <w:style w:styleId="FootnoteReference" w:type="character">
    <w:name w:val="footnote reference"/>
    <w:basedOn w:val="CaptionChar"/>
    <w:rPr>
      <w:b/>
      <w:bCs/>
      <w:color w:themeColor="accent1" w:themeShade="BF" w:val="365F91"/>
      <w:sz w:val="16"/>
      <w:szCs w:val="16"/>
      <w:vertAlign w:val="superscript"/>
    </w:rPr>
  </w:style>
  <w:style w:styleId="Hyperlink" w:type="character">
    <w:name w:val="Hyperlink"/>
    <w:basedOn w:val="CaptionChar"/>
    <w:rPr>
      <w:b/>
      <w:bCs/>
      <w:color w:themeColor="accent1" w:val="4F81BD"/>
      <w:sz w:val="16"/>
      <w:szCs w:val="16"/>
    </w:rPr>
  </w:style>
  <w:style w:styleId="TOCHeading" w:type="paragraph">
    <w:name w:val="TOC Heading"/>
    <w:basedOn w:val="Heading1"/>
    <w:next w:val="Normal"/>
    <w:uiPriority w:val="39"/>
    <w:unhideWhenUsed/>
    <w:qFormat/>
    <w:rsid w:val="005001AA"/>
    <w:pPr>
      <w:outlineLvl w:val="9"/>
    </w:p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 w:val="0"/>
      <w:bCs/>
      <w:color w:val="204A87"/>
      <w:sz w:val="22"/>
      <w:szCs w:val="16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b/>
      <w:bCs/>
      <w:color w:val="204A87"/>
      <w:sz w:val="22"/>
      <w:szCs w:val="16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b/>
      <w:bCs/>
      <w:color w:val="0000CF"/>
      <w:sz w:val="22"/>
      <w:szCs w:val="16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b/>
      <w:bCs/>
      <w:color w:val="0000CF"/>
      <w:sz w:val="22"/>
      <w:szCs w:val="16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b/>
      <w:bCs/>
      <w:color w:val="0000CF"/>
      <w:sz w:val="22"/>
      <w:szCs w:val="16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b/>
      <w:bCs/>
      <w:color w:val="000000"/>
      <w:sz w:val="22"/>
      <w:szCs w:val="16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b/>
      <w:bCs/>
      <w:color w:val="4E9A06"/>
      <w:sz w:val="22"/>
      <w:szCs w:val="16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b/>
      <w:bCs/>
      <w:color w:val="000000"/>
      <w:sz w:val="22"/>
      <w:szCs w:val="16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b/>
      <w:bCs/>
      <w:color w:val="4E9A06"/>
      <w:sz w:val="22"/>
      <w:szCs w:val="16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b/>
      <w:bCs/>
      <w:color w:val="4E9A06"/>
      <w:sz w:val="22"/>
      <w:szCs w:val="16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b/>
      <w:bCs/>
      <w:color w:val="4E9A06"/>
      <w:sz w:val="22"/>
      <w:szCs w:val="16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b/>
      <w:bCs/>
      <w:color w:themeColor="accent1" w:themeShade="BF" w:val="365F91"/>
      <w:sz w:val="22"/>
      <w:szCs w:val="16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b/>
      <w:bCs/>
      <w:i/>
      <w:color w:val="8F5902"/>
      <w:sz w:val="22"/>
      <w:szCs w:val="16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 w:val="0"/>
      <w:bCs/>
      <w:i/>
      <w:color w:val="8F5902"/>
      <w:sz w:val="22"/>
      <w:szCs w:val="16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 w:val="0"/>
      <w:bCs/>
      <w:i/>
      <w:color w:val="8F5902"/>
      <w:sz w:val="22"/>
      <w:szCs w:val="16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 w:val="0"/>
      <w:bCs/>
      <w:i/>
      <w:color w:val="8F5902"/>
      <w:sz w:val="22"/>
      <w:szCs w:val="16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b/>
      <w:bCs/>
      <w:color w:val="8F5902"/>
      <w:sz w:val="22"/>
      <w:szCs w:val="16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b/>
      <w:bCs/>
      <w:color w:val="000000"/>
      <w:sz w:val="22"/>
      <w:szCs w:val="16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b/>
      <w:bCs/>
      <w:color w:val="000000"/>
      <w:sz w:val="22"/>
      <w:szCs w:val="16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 w:val="0"/>
      <w:bCs/>
      <w:color w:val="204A87"/>
      <w:sz w:val="22"/>
      <w:szCs w:val="16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 w:val="0"/>
      <w:bCs/>
      <w:color w:val="CE5C00"/>
      <w:sz w:val="22"/>
      <w:szCs w:val="16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b/>
      <w:bCs/>
      <w:color w:themeColor="accent1" w:themeShade="BF" w:val="365F91"/>
      <w:sz w:val="22"/>
      <w:szCs w:val="16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b/>
      <w:bCs/>
      <w:color w:themeColor="accent1" w:themeShade="BF" w:val="365F91"/>
      <w:sz w:val="22"/>
      <w:szCs w:val="16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b/>
      <w:bCs/>
      <w:i/>
      <w:color w:val="8F5902"/>
      <w:sz w:val="22"/>
      <w:szCs w:val="16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b/>
      <w:bCs/>
      <w:color w:val="C4A000"/>
      <w:sz w:val="22"/>
      <w:szCs w:val="16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b/>
      <w:bCs/>
      <w:color w:themeColor="accent1" w:themeShade="BF" w:val="365F91"/>
      <w:sz w:val="22"/>
      <w:szCs w:val="16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 w:val="0"/>
      <w:bCs/>
      <w:i/>
      <w:color w:val="8F5902"/>
      <w:sz w:val="22"/>
      <w:szCs w:val="16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 w:val="0"/>
      <w:bCs/>
      <w:i/>
      <w:color w:val="8F5902"/>
      <w:sz w:val="22"/>
      <w:szCs w:val="16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b/>
      <w:bCs/>
      <w:color w:val="EF2929"/>
      <w:sz w:val="22"/>
      <w:szCs w:val="16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 w:val="0"/>
      <w:bCs/>
      <w:color w:val="A40000"/>
      <w:sz w:val="22"/>
      <w:szCs w:val="16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b/>
      <w:bCs/>
      <w:color w:themeColor="accent1" w:themeShade="BF" w:val="365F91"/>
      <w:sz w:val="22"/>
      <w:szCs w:val="16"/>
      <w:shd w:color="auto" w:fill="F8F8F8" w:val="clear"/>
    </w:rPr>
  </w:style>
  <w:style w:customStyle="1" w:styleId="Heading1Char" w:type="character">
    <w:name w:val="Heading 1 Char"/>
    <w:basedOn w:val="DefaultParagraphFont"/>
    <w:link w:val="Heading1"/>
    <w:uiPriority w:val="9"/>
    <w:rsid w:val="005001AA"/>
    <w:rPr>
      <w:b/>
      <w:bCs/>
      <w:caps/>
      <w:color w:themeColor="background1" w:val="FFFFFF"/>
      <w:spacing w:val="15"/>
      <w:shd w:color="auto" w:fill="4F81BD" w:themeFill="accent1" w:val="clear"/>
    </w:rPr>
  </w:style>
  <w:style w:customStyle="1" w:styleId="Heading2Char" w:type="character">
    <w:name w:val="Heading 2 Char"/>
    <w:basedOn w:val="DefaultParagraphFont"/>
    <w:link w:val="Heading2"/>
    <w:uiPriority w:val="9"/>
    <w:rsid w:val="005001AA"/>
    <w:rPr>
      <w:caps/>
      <w:spacing w:val="15"/>
      <w:shd w:color="auto" w:fill="DBE5F1" w:themeFill="accent1" w:themeFillTint="33" w:val="clear"/>
    </w:rPr>
  </w:style>
  <w:style w:customStyle="1" w:styleId="Heading3Char" w:type="character">
    <w:name w:val="Heading 3 Char"/>
    <w:basedOn w:val="DefaultParagraphFont"/>
    <w:link w:val="Heading3"/>
    <w:uiPriority w:val="9"/>
    <w:rsid w:val="005001AA"/>
    <w:rPr>
      <w:caps/>
      <w:color w:themeColor="accent1" w:themeShade="7F" w:val="243F60"/>
      <w:spacing w:val="15"/>
    </w:rPr>
  </w:style>
  <w:style w:customStyle="1" w:styleId="Heading4Char" w:type="character">
    <w:name w:val="Heading 4 Char"/>
    <w:basedOn w:val="DefaultParagraphFont"/>
    <w:link w:val="Heading4"/>
    <w:uiPriority w:val="9"/>
    <w:rsid w:val="005001AA"/>
    <w:rPr>
      <w:caps/>
      <w:color w:themeColor="accent1" w:themeShade="BF" w:val="365F91"/>
      <w:spacing w:val="10"/>
    </w:rPr>
  </w:style>
  <w:style w:customStyle="1" w:styleId="Heading5Char" w:type="character">
    <w:name w:val="Heading 5 Char"/>
    <w:basedOn w:val="DefaultParagraphFont"/>
    <w:link w:val="Heading5"/>
    <w:uiPriority w:val="9"/>
    <w:rsid w:val="005001AA"/>
    <w:rPr>
      <w:caps/>
      <w:color w:themeColor="accent1" w:themeShade="BF" w:val="365F91"/>
      <w:spacing w:val="10"/>
    </w:rPr>
  </w:style>
  <w:style w:customStyle="1" w:styleId="Heading6Char" w:type="character">
    <w:name w:val="Heading 6 Char"/>
    <w:basedOn w:val="DefaultParagraphFont"/>
    <w:link w:val="Heading6"/>
    <w:uiPriority w:val="9"/>
    <w:rsid w:val="005001AA"/>
    <w:rPr>
      <w:caps/>
      <w:color w:themeColor="accent1" w:themeShade="BF" w:val="365F91"/>
      <w:spacing w:val="10"/>
    </w:rPr>
  </w:style>
  <w:style w:customStyle="1" w:styleId="Heading7Char" w:type="character">
    <w:name w:val="Heading 7 Char"/>
    <w:basedOn w:val="DefaultParagraphFont"/>
    <w:link w:val="Heading7"/>
    <w:uiPriority w:val="9"/>
    <w:rsid w:val="005001AA"/>
    <w:rPr>
      <w:caps/>
      <w:color w:themeColor="accent1" w:themeShade="BF" w:val="365F91"/>
      <w:spacing w:val="10"/>
    </w:rPr>
  </w:style>
  <w:style w:customStyle="1" w:styleId="Heading8Char" w:type="character">
    <w:name w:val="Heading 8 Char"/>
    <w:basedOn w:val="DefaultParagraphFont"/>
    <w:link w:val="Heading8"/>
    <w:uiPriority w:val="9"/>
    <w:rsid w:val="005001AA"/>
    <w:rPr>
      <w:caps/>
      <w:spacing w:val="10"/>
      <w:sz w:val="18"/>
      <w:szCs w:val="18"/>
    </w:rPr>
  </w:style>
  <w:style w:customStyle="1" w:styleId="Heading9Char" w:type="character">
    <w:name w:val="Heading 9 Char"/>
    <w:basedOn w:val="DefaultParagraphFont"/>
    <w:link w:val="Heading9"/>
    <w:uiPriority w:val="9"/>
    <w:rsid w:val="005001AA"/>
    <w:rPr>
      <w:i/>
      <w:caps/>
      <w:spacing w:val="10"/>
      <w:sz w:val="18"/>
      <w:szCs w:val="18"/>
    </w:rPr>
  </w:style>
  <w:style w:customStyle="1" w:styleId="TitleChar" w:type="character">
    <w:name w:val="Title Char"/>
    <w:basedOn w:val="DefaultParagraphFont"/>
    <w:link w:val="Title"/>
    <w:uiPriority w:val="10"/>
    <w:rsid w:val="005001AA"/>
    <w:rPr>
      <w:caps/>
      <w:color w:themeColor="accent1" w:val="4F81BD"/>
      <w:spacing w:val="10"/>
      <w:kern w:val="28"/>
      <w:sz w:val="52"/>
      <w:szCs w:val="52"/>
    </w:rPr>
  </w:style>
  <w:style w:customStyle="1" w:styleId="SubtitleChar" w:type="character">
    <w:name w:val="Subtitle Char"/>
    <w:basedOn w:val="DefaultParagraphFont"/>
    <w:link w:val="Subtitle"/>
    <w:uiPriority w:val="11"/>
    <w:rsid w:val="005001AA"/>
    <w:rPr>
      <w:caps/>
      <w:color w:themeColor="text1" w:themeTint="A6" w:val="595959"/>
      <w:spacing w:val="10"/>
      <w:sz w:val="24"/>
      <w:szCs w:val="24"/>
    </w:rPr>
  </w:style>
  <w:style w:styleId="Strong" w:type="character">
    <w:name w:val="Strong"/>
    <w:uiPriority w:val="22"/>
    <w:qFormat/>
    <w:rsid w:val="005001AA"/>
    <w:rPr>
      <w:b/>
      <w:bCs/>
    </w:rPr>
  </w:style>
  <w:style w:styleId="Emphasis" w:type="character">
    <w:name w:val="Emphasis"/>
    <w:uiPriority w:val="20"/>
    <w:qFormat/>
    <w:rsid w:val="005001AA"/>
    <w:rPr>
      <w:caps/>
      <w:color w:themeColor="accent1" w:themeShade="7F" w:val="243F60"/>
      <w:spacing w:val="5"/>
    </w:rPr>
  </w:style>
  <w:style w:styleId="NoSpacing" w:type="paragraph">
    <w:name w:val="No Spacing"/>
    <w:basedOn w:val="Normal"/>
    <w:link w:val="NoSpacingChar"/>
    <w:uiPriority w:val="1"/>
    <w:qFormat/>
    <w:rsid w:val="005001AA"/>
    <w:pPr>
      <w:spacing w:after="0" w:before="0" w:line="240" w:lineRule="auto"/>
    </w:pPr>
  </w:style>
  <w:style w:customStyle="1" w:styleId="NoSpacingChar" w:type="character">
    <w:name w:val="No Spacing Char"/>
    <w:basedOn w:val="DefaultParagraphFont"/>
    <w:link w:val="NoSpacing"/>
    <w:uiPriority w:val="1"/>
    <w:rsid w:val="005001AA"/>
    <w:rPr>
      <w:sz w:val="20"/>
      <w:szCs w:val="20"/>
    </w:rPr>
  </w:style>
  <w:style w:styleId="ListParagraph" w:type="paragraph">
    <w:name w:val="List Paragraph"/>
    <w:basedOn w:val="Normal"/>
    <w:uiPriority w:val="34"/>
    <w:qFormat/>
    <w:rsid w:val="005001AA"/>
    <w:pPr>
      <w:ind w:left="720"/>
      <w:contextualSpacing/>
    </w:pPr>
  </w:style>
  <w:style w:styleId="Quote" w:type="paragraph">
    <w:name w:val="Quote"/>
    <w:basedOn w:val="Normal"/>
    <w:next w:val="Normal"/>
    <w:link w:val="QuoteChar"/>
    <w:uiPriority w:val="29"/>
    <w:qFormat/>
    <w:rsid w:val="005001AA"/>
    <w:rPr>
      <w:i/>
      <w:iCs/>
    </w:rPr>
  </w:style>
  <w:style w:customStyle="1" w:styleId="QuoteChar" w:type="character">
    <w:name w:val="Quote Char"/>
    <w:basedOn w:val="DefaultParagraphFont"/>
    <w:link w:val="Quote"/>
    <w:uiPriority w:val="29"/>
    <w:rsid w:val="005001AA"/>
    <w:rPr>
      <w:i/>
      <w:iCs/>
      <w:sz w:val="20"/>
      <w:szCs w:val="20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5001AA"/>
    <w:pPr>
      <w:pBdr>
        <w:top w:color="4F81BD" w:space="10" w:sz="4" w:themeColor="accent1" w:val="single"/>
        <w:left w:color="4F81BD" w:space="10" w:sz="4" w:themeColor="accent1" w:val="single"/>
      </w:pBdr>
      <w:spacing w:after="0"/>
      <w:ind w:left="1296" w:right="1152"/>
      <w:jc w:val="both"/>
    </w:pPr>
    <w:rPr>
      <w:i/>
      <w:iCs/>
      <w:color w:themeColor="accent1" w:val="4F81BD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5001AA"/>
    <w:rPr>
      <w:i/>
      <w:iCs/>
      <w:color w:themeColor="accent1" w:val="4F81BD"/>
      <w:sz w:val="20"/>
      <w:szCs w:val="20"/>
    </w:rPr>
  </w:style>
  <w:style w:styleId="SubtleEmphasis" w:type="character">
    <w:name w:val="Subtle Emphasis"/>
    <w:uiPriority w:val="19"/>
    <w:qFormat/>
    <w:rsid w:val="005001AA"/>
    <w:rPr>
      <w:i/>
      <w:iCs/>
      <w:color w:themeColor="accent1" w:themeShade="7F" w:val="243F60"/>
    </w:rPr>
  </w:style>
  <w:style w:styleId="IntenseEmphasis" w:type="character">
    <w:name w:val="Intense Emphasis"/>
    <w:uiPriority w:val="21"/>
    <w:qFormat/>
    <w:rsid w:val="005001AA"/>
    <w:rPr>
      <w:b/>
      <w:bCs/>
      <w:caps/>
      <w:color w:themeColor="accent1" w:themeShade="7F" w:val="243F60"/>
      <w:spacing w:val="10"/>
    </w:rPr>
  </w:style>
  <w:style w:styleId="SubtleReference" w:type="character">
    <w:name w:val="Subtle Reference"/>
    <w:uiPriority w:val="31"/>
    <w:qFormat/>
    <w:rsid w:val="005001AA"/>
    <w:rPr>
      <w:b/>
      <w:bCs/>
      <w:color w:themeColor="accent1" w:val="4F81BD"/>
    </w:rPr>
  </w:style>
  <w:style w:styleId="IntenseReference" w:type="character">
    <w:name w:val="Intense Reference"/>
    <w:uiPriority w:val="32"/>
    <w:qFormat/>
    <w:rsid w:val="005001AA"/>
    <w:rPr>
      <w:b/>
      <w:bCs/>
      <w:i/>
      <w:iCs/>
      <w:caps/>
      <w:color w:themeColor="accent1" w:val="4F81BD"/>
    </w:rPr>
  </w:style>
  <w:style w:styleId="BookTitle" w:type="character">
    <w:name w:val="Book Title"/>
    <w:uiPriority w:val="33"/>
    <w:qFormat/>
    <w:rsid w:val="005001AA"/>
    <w:rPr>
      <w:b/>
      <w:bCs/>
      <w:i/>
      <w:iCs/>
      <w:spacing w:val="9"/>
    </w:rPr>
  </w:style>
  <w:style w:styleId="Header" w:type="paragraph">
    <w:name w:val="header"/>
    <w:basedOn w:val="Normal"/>
    <w:link w:val="HeaderChar"/>
    <w:unhideWhenUsed/>
    <w:rsid w:val="00275A44"/>
    <w:pPr>
      <w:tabs>
        <w:tab w:pos="4680" w:val="center"/>
        <w:tab w:pos="9360" w:val="right"/>
      </w:tabs>
      <w:spacing w:after="0" w:before="0" w:line="240" w:lineRule="auto"/>
    </w:pPr>
  </w:style>
  <w:style w:customStyle="1" w:styleId="BodyTextChar" w:type="character">
    <w:name w:val="Body Text Char"/>
    <w:basedOn w:val="DefaultParagraphFont"/>
    <w:link w:val="BodyText"/>
    <w:rsid w:val="00FD547C"/>
    <w:rPr>
      <w:sz w:val="20"/>
      <w:szCs w:val="20"/>
    </w:rPr>
  </w:style>
  <w:style w:customStyle="1" w:styleId="HeaderChar" w:type="character">
    <w:name w:val="Header Char"/>
    <w:basedOn w:val="DefaultParagraphFont"/>
    <w:link w:val="Header"/>
    <w:rsid w:val="00275A44"/>
    <w:rPr>
      <w:sz w:val="20"/>
      <w:szCs w:val="20"/>
    </w:rPr>
  </w:style>
  <w:style w:styleId="Footer" w:type="paragraph">
    <w:name w:val="footer"/>
    <w:basedOn w:val="Normal"/>
    <w:link w:val="FooterChar"/>
    <w:unhideWhenUsed/>
    <w:rsid w:val="00275A44"/>
    <w:pPr>
      <w:tabs>
        <w:tab w:pos="4680" w:val="center"/>
        <w:tab w:pos="9360" w:val="right"/>
      </w:tabs>
      <w:spacing w:after="0" w:before="0" w:line="240" w:lineRule="auto"/>
    </w:pPr>
  </w:style>
  <w:style w:customStyle="1" w:styleId="FooterChar" w:type="character">
    <w:name w:val="Footer Char"/>
    <w:basedOn w:val="DefaultParagraphFont"/>
    <w:link w:val="Footer"/>
    <w:rsid w:val="00275A4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3.xml" Type="http://schemas.openxmlformats.org/officeDocument/2006/relationships/header" /><Relationship Id="rId10" Target="header2.xml" Type="http://schemas.openxmlformats.org/officeDocument/2006/relationships/header" /><Relationship Id="rId11" Target="header1.xml" Type="http://schemas.openxmlformats.org/officeDocument/2006/relationships/header" /><Relationship Id="rId12" Target="footer2.xml" Type="http://schemas.openxmlformats.org/officeDocument/2006/relationships/footer" /><Relationship Id="rId13" Target="footer1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6" Target="media/rId26.tiff" /><Relationship Type="http://schemas.openxmlformats.org/officeDocument/2006/relationships/image" Id="rId32" Target="media/rId32.png" /><Relationship Type="http://schemas.openxmlformats.org/officeDocument/2006/relationships/image" Id="rId35" Target="media/rId3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2</TotalTime>
  <Pages>9</Pages>
  <Words>1351</Words>
  <Characters>7705</Characters>
  <Application>Microsoft Office Word</Application>
  <DocSecurity>0</DocSecurity>
  <Lines>64</Lines>
  <Paragraphs>18</Paragraphs>
  <ScaleCrop>false</ScaleCrop>
  <Company/>
  <LinksUpToDate>false</LinksUpToDate>
  <CharactersWithSpaces>9038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 example ageing criteria report</dc:title>
  <dc:creator>Eva Schemmel; Kristen Dahl</dc:creator>
  <cp:keywords/>
  <dcterms:created xsi:type="dcterms:W3CDTF">2024-01-26T16:09:49Z</dcterms:created>
  <dcterms:modified xsi:type="dcterms:W3CDTF">2024-01-26T16:09:49Z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lways_allow_html">
    <vt:lpwstr>True</vt:lpwstr>
  </property>
  <property fmtid="{D5CDD505-2E9C-101B-9397-08002B2CF9AE}" pid="4" name="authors">
    <vt:lpwstr/>
  </property>
  <property fmtid="{D5CDD505-2E9C-101B-9397-08002B2CF9AE}" pid="5" name="biblio-config">
    <vt:lpwstr>True</vt:lpwstr>
  </property>
  <property fmtid="{D5CDD505-2E9C-101B-9397-08002B2CF9AE}" pid="6" name="bibliography">
    <vt:lpwstr/>
  </property>
  <property fmtid="{D5CDD505-2E9C-101B-9397-08002B2CF9AE}" pid="7" name="book">
    <vt:lpwstr/>
  </property>
  <property fmtid="{D5CDD505-2E9C-101B-9397-08002B2CF9AE}" pid="8" name="by-affiliation">
    <vt:lpwstr/>
  </property>
  <property fmtid="{D5CDD505-2E9C-101B-9397-08002B2CF9AE}" pid="9" name="by-author">
    <vt:lpwstr/>
  </property>
  <property fmtid="{D5CDD505-2E9C-101B-9397-08002B2CF9AE}" pid="10" name="crossref">
    <vt:lpwstr/>
  </property>
  <property fmtid="{D5CDD505-2E9C-101B-9397-08002B2CF9AE}" pid="11" name="date">
    <vt:lpwstr>January 2023</vt:lpwstr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subtitle">
    <vt:lpwstr>Pristipomoides zonatus</vt:lpwstr>
  </property>
  <property fmtid="{D5CDD505-2E9C-101B-9397-08002B2CF9AE}" pid="17" name="toc-title">
    <vt:lpwstr>Table of contents</vt:lpwstr>
  </property>
  <property fmtid="{D5CDD505-2E9C-101B-9397-08002B2CF9AE}" pid="18" name="website">
    <vt:lpwstr/>
  </property>
</Properties>
</file>